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第３号様式（第７条関係）</w:t>
      </w: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jc w:val="center"/>
        <w:rPr>
          <w:rFonts w:hint="default"/>
        </w:rPr>
      </w:pPr>
      <w:r>
        <w:rPr>
          <w:rFonts w:hint="eastAsia"/>
        </w:rPr>
        <w:t>リース料金の算定根拠明細書</w:t>
      </w:r>
    </w:p>
    <w:p>
      <w:pPr>
        <w:pStyle w:val="0"/>
        <w:spacing w:line="340" w:lineRule="exact"/>
        <w:rPr>
          <w:rFonts w:hint="default"/>
        </w:rPr>
      </w:pPr>
    </w:p>
    <w:p>
      <w:pPr>
        <w:pStyle w:val="0"/>
        <w:spacing w:line="340" w:lineRule="exact"/>
        <w:rPr>
          <w:rFonts w:hint="default"/>
        </w:rPr>
      </w:pPr>
      <w:r>
        <w:rPr>
          <w:rFonts w:hint="eastAsia"/>
        </w:rPr>
        <w:t>　匝瑳市長　あて</w:t>
      </w: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　　　　　　　　　　　　　リース事業者　住　所</w:t>
      </w:r>
    </w:p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　　　　　　　　　　　　　　　　　　　　氏　名</w:t>
      </w:r>
    </w:p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　　　　　　　　　　　　　　　　　　　　電　話</w:t>
      </w:r>
    </w:p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　　　　　　　　　　　　（法人の場合）　所在地</w:t>
      </w:r>
    </w:p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　　　　　　　　　　　　　　　　　　　　名　称</w:t>
      </w:r>
    </w:p>
    <w:p>
      <w:pPr>
        <w:pStyle w:val="0"/>
        <w:spacing w:line="280" w:lineRule="exact"/>
        <w:ind w:left="0" w:leftChars="-100" w:right="-2" w:hanging="252" w:hangingChars="100"/>
        <w:jc w:val="left"/>
        <w:rPr>
          <w:rFonts w:hint="default"/>
        </w:rPr>
      </w:pPr>
      <w:r>
        <w:rPr>
          <w:rFonts w:hint="eastAsia"/>
        </w:rPr>
        <w:t>　　　　　　　　　　　　　　　　　　代表者職氏名</w:t>
      </w:r>
      <w:bookmarkStart w:id="0" w:name="_GoBack"/>
      <w:bookmarkEnd w:id="0"/>
    </w:p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　　　　　　　　　　　　　　　　　　　　電　話</w:t>
      </w: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ind w:left="0" w:leftChars="0" w:right="124" w:rightChars="49" w:firstLine="1008" w:firstLineChars="400"/>
        <w:jc w:val="left"/>
        <w:rPr>
          <w:rFonts w:hint="default"/>
        </w:rPr>
      </w:pPr>
      <w:r>
        <w:rPr>
          <w:rFonts w:hint="eastAsia"/>
        </w:rPr>
        <w:t>　　　　　　　　　　　リース先　住　所</w:t>
      </w:r>
    </w:p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　　　　　　　　　　　　　　　　　　　　氏　名</w:t>
      </w:r>
    </w:p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　　　　　　　　　　　　　　　　　　　　電　話</w:t>
      </w: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　補助事業で導入する設備については、下記のとおりであることについて間違いありません。</w:t>
      </w:r>
    </w:p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　また、注意事項に記載されている内容について、間違いがないこと及び補助金交付後も遵守することを誓約します。</w:t>
      </w:r>
    </w:p>
    <w:p>
      <w:pPr>
        <w:pStyle w:val="17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60"/>
        <w:gridCol w:w="1008"/>
        <w:gridCol w:w="1512"/>
        <w:gridCol w:w="1512"/>
        <w:gridCol w:w="1512"/>
        <w:gridCol w:w="2268"/>
      </w:tblGrid>
      <w:tr>
        <w:trPr>
          <w:trHeight w:val="619" w:hRule="atLeast"/>
        </w:trPr>
        <w:tc>
          <w:tcPr>
            <w:tcW w:w="1260" w:type="dxa"/>
            <w:vMerge w:val="restart"/>
            <w:shd w:val="clear" w:color="auto" w:fill="auto"/>
            <w:vAlign w:val="top"/>
          </w:tcPr>
          <w:p>
            <w:pPr>
              <w:pStyle w:val="0"/>
              <w:spacing w:line="276" w:lineRule="auto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対象設備</w:t>
            </w:r>
          </w:p>
        </w:tc>
        <w:tc>
          <w:tcPr>
            <w:tcW w:w="1008" w:type="dxa"/>
            <w:vMerge w:val="restart"/>
            <w:shd w:val="clear" w:color="auto" w:fill="auto"/>
            <w:vAlign w:val="top"/>
          </w:tcPr>
          <w:p>
            <w:pPr>
              <w:pStyle w:val="0"/>
              <w:spacing w:line="340" w:lineRule="exact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ind w:right="-103" w:rightChars="-4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リース期間（</w:t>
            </w:r>
          </w:p>
          <w:p>
            <w:pPr>
              <w:pStyle w:val="0"/>
              <w:spacing w:line="340" w:lineRule="exact"/>
              <w:ind w:right="-227" w:rightChars="-9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月数）</w:t>
            </w:r>
          </w:p>
        </w:tc>
        <w:tc>
          <w:tcPr>
            <w:tcW w:w="1512" w:type="dxa"/>
            <w:vMerge w:val="restart"/>
            <w:shd w:val="clear" w:color="auto" w:fill="auto"/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FF0000"/>
              </w:rPr>
            </w:pPr>
          </w:p>
          <w:p>
            <w:pPr>
              <w:pStyle w:val="0"/>
              <w:spacing w:line="340" w:lineRule="exact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匝瑳市補助金額</w:t>
            </w:r>
            <w:r>
              <w:rPr>
                <w:rFonts w:hint="eastAsia"/>
                <w:color w:val="FF0000"/>
              </w:rPr>
              <w:t>(</w:t>
            </w:r>
            <w:r>
              <w:rPr>
                <w:rFonts w:hint="default"/>
                <w:color w:val="FF0000"/>
              </w:rPr>
              <w:t>a)</w:t>
            </w:r>
          </w:p>
        </w:tc>
        <w:tc>
          <w:tcPr>
            <w:tcW w:w="5292" w:type="dxa"/>
            <w:gridSpan w:val="3"/>
            <w:shd w:val="clear" w:color="auto" w:fill="auto"/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リース料総額</w:t>
            </w:r>
          </w:p>
          <w:p>
            <w:pPr>
              <w:pStyle w:val="0"/>
              <w:spacing w:line="340" w:lineRule="exact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※　前払金を含む、税抜き金額</w:t>
            </w:r>
          </w:p>
        </w:tc>
      </w:tr>
      <w:tr>
        <w:trPr>
          <w:trHeight w:val="657" w:hRule="atLeast"/>
        </w:trPr>
        <w:tc>
          <w:tcPr>
            <w:tcW w:w="1260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340" w:lineRule="exact"/>
              <w:rPr>
                <w:rFonts w:hint="default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340" w:lineRule="exact"/>
              <w:rPr>
                <w:rFonts w:hint="default"/>
              </w:rPr>
            </w:pPr>
          </w:p>
        </w:tc>
        <w:tc>
          <w:tcPr>
            <w:tcW w:w="1512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FF0000"/>
              </w:rPr>
            </w:pPr>
          </w:p>
        </w:tc>
        <w:tc>
          <w:tcPr>
            <w:tcW w:w="1512" w:type="dxa"/>
            <w:shd w:val="clear" w:color="auto" w:fill="auto"/>
            <w:vAlign w:val="top"/>
          </w:tcPr>
          <w:p>
            <w:pPr>
              <w:pStyle w:val="0"/>
              <w:spacing w:line="340" w:lineRule="exact"/>
              <w:ind w:right="-38" w:rightChars="-15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補助金なしの場合</w:t>
            </w:r>
            <w:r>
              <w:rPr>
                <w:rFonts w:hint="eastAsia"/>
                <w:color w:val="FF0000"/>
              </w:rPr>
              <w:t>(b</w:t>
            </w:r>
            <w:r>
              <w:rPr>
                <w:rFonts w:hint="default"/>
                <w:color w:val="FF0000"/>
              </w:rPr>
              <w:t>)</w:t>
            </w:r>
          </w:p>
        </w:tc>
        <w:tc>
          <w:tcPr>
            <w:tcW w:w="1512" w:type="dxa"/>
            <w:shd w:val="clear" w:color="auto" w:fill="auto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補助金ありの場合</w:t>
            </w:r>
            <w:r>
              <w:rPr>
                <w:rFonts w:hint="eastAsia"/>
                <w:color w:val="FF0000"/>
              </w:rPr>
              <w:t>(c</w:t>
            </w:r>
            <w:r>
              <w:rPr>
                <w:rFonts w:hint="default"/>
                <w:color w:val="FF0000"/>
              </w:rPr>
              <w:t>)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差額</w:t>
            </w:r>
            <w:r>
              <w:rPr>
                <w:rFonts w:hint="eastAsia"/>
                <w:color w:val="FF0000"/>
              </w:rPr>
              <w:t>(d</w:t>
            </w:r>
            <w:r>
              <w:rPr>
                <w:rFonts w:hint="default"/>
                <w:color w:val="FF0000"/>
              </w:rPr>
              <w:t>)</w:t>
            </w:r>
          </w:p>
          <w:p>
            <w:pPr>
              <w:pStyle w:val="0"/>
              <w:spacing w:line="340" w:lineRule="exact"/>
              <w:ind w:left="0" w:leftChars="-90" w:hanging="227" w:hangingChars="9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(</w:t>
            </w:r>
            <w:r>
              <w:rPr>
                <w:rFonts w:hint="default"/>
                <w:color w:val="FF0000"/>
              </w:rPr>
              <w:t>(</w:t>
            </w:r>
            <w:r>
              <w:rPr>
                <w:rFonts w:hint="eastAsia"/>
                <w:color w:val="FF0000"/>
              </w:rPr>
              <w:t>b</w:t>
            </w:r>
            <w:r>
              <w:rPr>
                <w:rFonts w:hint="default"/>
                <w:color w:val="FF0000"/>
              </w:rPr>
              <w:t>)-(</w:t>
            </w:r>
            <w:r>
              <w:rPr>
                <w:rFonts w:hint="eastAsia"/>
                <w:color w:val="FF0000"/>
              </w:rPr>
              <w:t>c</w:t>
            </w:r>
            <w:r>
              <w:rPr>
                <w:rFonts w:hint="default"/>
                <w:color w:val="FF0000"/>
              </w:rPr>
              <w:t>))</w:t>
            </w:r>
          </w:p>
        </w:tc>
      </w:tr>
      <w:tr>
        <w:trPr>
          <w:trHeight w:val="456" w:hRule="atLeast"/>
        </w:trPr>
        <w:tc>
          <w:tcPr>
            <w:tcW w:w="1260" w:type="dxa"/>
            <w:shd w:val="clear" w:color="auto" w:fill="auto"/>
            <w:vAlign w:val="top"/>
          </w:tcPr>
          <w:p>
            <w:pPr>
              <w:pStyle w:val="0"/>
              <w:spacing w:line="276" w:lineRule="auto"/>
              <w:rPr>
                <w:rFonts w:hint="default"/>
              </w:rPr>
            </w:pP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pStyle w:val="0"/>
              <w:spacing w:line="276" w:lineRule="auto"/>
              <w:rPr>
                <w:rFonts w:hint="default"/>
              </w:rPr>
            </w:pPr>
          </w:p>
        </w:tc>
        <w:tc>
          <w:tcPr>
            <w:tcW w:w="1512" w:type="dxa"/>
            <w:shd w:val="clear" w:color="auto" w:fill="auto"/>
            <w:vAlign w:val="top"/>
          </w:tcPr>
          <w:p>
            <w:pPr>
              <w:pStyle w:val="0"/>
              <w:spacing w:line="276" w:lineRule="auto"/>
              <w:rPr>
                <w:rFonts w:hint="default"/>
              </w:rPr>
            </w:pPr>
          </w:p>
        </w:tc>
        <w:tc>
          <w:tcPr>
            <w:tcW w:w="1512" w:type="dxa"/>
            <w:shd w:val="clear" w:color="auto" w:fill="auto"/>
            <w:vAlign w:val="top"/>
          </w:tcPr>
          <w:p>
            <w:pPr>
              <w:pStyle w:val="0"/>
              <w:spacing w:line="276" w:lineRule="auto"/>
              <w:rPr>
                <w:rFonts w:hint="default"/>
                <w:color w:val="FF0000"/>
              </w:rPr>
            </w:pPr>
          </w:p>
        </w:tc>
        <w:tc>
          <w:tcPr>
            <w:tcW w:w="1512" w:type="dxa"/>
            <w:shd w:val="clear" w:color="auto" w:fill="auto"/>
            <w:vAlign w:val="top"/>
          </w:tcPr>
          <w:p>
            <w:pPr>
              <w:pStyle w:val="0"/>
              <w:spacing w:line="276" w:lineRule="auto"/>
              <w:rPr>
                <w:rFonts w:hint="default"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pStyle w:val="0"/>
              <w:spacing w:line="276" w:lineRule="auto"/>
              <w:rPr>
                <w:rFonts w:hint="default"/>
                <w:color w:val="FF0000"/>
              </w:rPr>
            </w:pPr>
          </w:p>
          <w:p>
            <w:pPr>
              <w:pStyle w:val="0"/>
              <w:spacing w:line="276" w:lineRule="auto"/>
              <w:rPr>
                <w:rFonts w:hint="default"/>
                <w:color w:val="FF000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91" w:hRule="atLeast"/>
        </w:trPr>
        <w:tc>
          <w:tcPr>
            <w:tcW w:w="9072" w:type="dxa"/>
            <w:gridSpan w:val="6"/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</w:tr>
    </w:tbl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（注意事項）</w:t>
      </w:r>
    </w:p>
    <w:p>
      <w:pPr>
        <w:pStyle w:val="0"/>
        <w:snapToGrid w:val="0"/>
        <w:ind w:left="252" w:hanging="252" w:hangingChars="100"/>
        <w:rPr>
          <w:rFonts w:hint="default"/>
        </w:rPr>
      </w:pPr>
      <w:r>
        <w:rPr>
          <w:rFonts w:hint="eastAsia"/>
        </w:rPr>
        <w:t>（１）　</w:t>
      </w:r>
      <w:r>
        <w:rPr>
          <w:rFonts w:hint="default" w:ascii="ＭＳ 明朝" w:hAnsi="ＭＳ 明朝"/>
        </w:rPr>
        <w:t>補助金ありの場合のリース料総額</w:t>
      </w:r>
      <w:r>
        <w:rPr>
          <w:rFonts w:hint="eastAsia"/>
          <w:color w:val="FF0000"/>
        </w:rPr>
        <w:t>(c</w:t>
      </w:r>
      <w:r>
        <w:rPr>
          <w:rFonts w:hint="default"/>
          <w:color w:val="FF0000"/>
        </w:rPr>
        <w:t xml:space="preserve">) </w:t>
      </w:r>
      <w:r>
        <w:rPr>
          <w:rFonts w:hint="default" w:ascii="ＭＳ 明朝" w:hAnsi="ＭＳ 明朝"/>
        </w:rPr>
        <w:t>又はこれをリース期間で除した月額リース料金が、リース契約書で確認できること。リース契約書から、これが確認できない場合は、補助金額をリース料金から差し引いてリース契約を再締結するか、補助金額確定後</w:t>
      </w:r>
      <w:r>
        <w:rPr>
          <w:rFonts w:hint="eastAsia"/>
        </w:rPr>
        <w:t>又は</w:t>
      </w:r>
      <w:r>
        <w:rPr>
          <w:rFonts w:hint="default" w:ascii="ＭＳ 明朝" w:hAnsi="ＭＳ 明朝"/>
        </w:rPr>
        <w:t>入金後に補助金額をリース料から減額し、月々のリース料へ反映することを明記した覚書</w:t>
      </w:r>
      <w:r>
        <w:rPr>
          <w:rFonts w:hint="eastAsia"/>
        </w:rPr>
        <w:t>その他の書面</w:t>
      </w:r>
      <w:r>
        <w:rPr>
          <w:rFonts w:hint="default" w:ascii="ＭＳ 明朝" w:hAnsi="ＭＳ 明朝"/>
        </w:rPr>
        <w:t>をリース事業者及びリース先で締結の</w:t>
      </w:r>
      <w:r>
        <w:rPr>
          <w:rFonts w:hint="eastAsia"/>
        </w:rPr>
        <w:t>上、</w:t>
      </w:r>
      <w:r>
        <w:rPr>
          <w:rFonts w:hint="default" w:ascii="ＭＳ 明朝" w:hAnsi="ＭＳ 明朝"/>
        </w:rPr>
        <w:t>提出すること。</w:t>
      </w:r>
    </w:p>
    <w:p>
      <w:pPr>
        <w:pStyle w:val="0"/>
        <w:snapToGrid w:val="0"/>
        <w:ind w:left="252" w:hanging="252" w:hangingChars="100"/>
        <w:rPr>
          <w:rFonts w:hint="default"/>
        </w:rPr>
      </w:pPr>
      <w:r>
        <w:rPr>
          <w:rFonts w:hint="eastAsia"/>
        </w:rPr>
        <w:t>（２）　</w:t>
      </w:r>
      <w:r>
        <w:rPr>
          <w:rFonts w:hint="default" w:ascii="ＭＳ 明朝" w:hAnsi="ＭＳ 明朝"/>
        </w:rPr>
        <w:t>補助金ありの場合となしの場合のリース料総額の差額</w:t>
      </w:r>
      <w:r>
        <w:rPr>
          <w:rFonts w:hint="eastAsia"/>
          <w:color w:val="FF0000"/>
        </w:rPr>
        <w:t>(d</w:t>
      </w:r>
      <w:r>
        <w:rPr>
          <w:rFonts w:hint="default"/>
          <w:color w:val="FF0000"/>
        </w:rPr>
        <w:t xml:space="preserve">) </w:t>
      </w:r>
      <w:r>
        <w:rPr>
          <w:rFonts w:hint="default" w:ascii="ＭＳ 明朝" w:hAnsi="ＭＳ 明朝"/>
          <w:color w:val="FF0000"/>
        </w:rPr>
        <w:t>が、</w:t>
      </w:r>
      <w:r>
        <w:rPr>
          <w:rFonts w:hint="eastAsia"/>
          <w:color w:val="FF0000"/>
        </w:rPr>
        <w:t>匝瑳市</w:t>
      </w:r>
      <w:r>
        <w:rPr>
          <w:rFonts w:hint="default" w:ascii="ＭＳ 明朝" w:hAnsi="ＭＳ 明朝"/>
          <w:color w:val="FF0000"/>
        </w:rPr>
        <w:t>補助金</w:t>
      </w:r>
      <w:r>
        <w:rPr>
          <w:rFonts w:hint="eastAsia"/>
          <w:color w:val="FF0000"/>
        </w:rPr>
        <w:t>額</w:t>
      </w:r>
      <w:r>
        <w:rPr>
          <w:rFonts w:hint="eastAsia"/>
          <w:color w:val="FF0000"/>
        </w:rPr>
        <w:t>(</w:t>
      </w:r>
      <w:r>
        <w:rPr>
          <w:rFonts w:hint="default"/>
          <w:color w:val="FF0000"/>
        </w:rPr>
        <w:t>a)</w:t>
      </w:r>
      <w:r>
        <w:rPr>
          <w:rFonts w:hint="default" w:ascii="ＭＳ 明朝" w:hAnsi="ＭＳ 明朝"/>
          <w:color w:val="FF0000"/>
        </w:rPr>
        <w:t>以上</w:t>
      </w:r>
      <w:r>
        <w:rPr>
          <w:rFonts w:hint="default" w:ascii="ＭＳ 明朝" w:hAnsi="ＭＳ 明朝"/>
        </w:rPr>
        <w:t>であること。</w:t>
      </w:r>
    </w:p>
    <w:p>
      <w:pPr>
        <w:pStyle w:val="0"/>
        <w:spacing w:line="280" w:lineRule="exact"/>
        <w:ind w:left="252" w:hanging="252" w:hangingChars="100"/>
        <w:rPr>
          <w:rFonts w:hint="default"/>
        </w:rPr>
      </w:pPr>
      <w:r>
        <w:rPr>
          <w:rFonts w:hint="eastAsia"/>
        </w:rPr>
        <w:t>（３）　匝瑳市</w:t>
      </w:r>
      <w:r>
        <w:rPr>
          <w:rFonts w:hint="default" w:ascii="ＭＳ 明朝" w:hAnsi="ＭＳ 明朝"/>
        </w:rPr>
        <w:t>補助金の金額分は、月額リース料金を減額する形で</w:t>
      </w:r>
      <w:r>
        <w:rPr>
          <w:rFonts w:hint="eastAsia"/>
        </w:rPr>
        <w:t>リース</w:t>
      </w:r>
      <w:r>
        <w:rPr>
          <w:rFonts w:hint="default" w:ascii="ＭＳ 明朝" w:hAnsi="ＭＳ 明朝"/>
        </w:rPr>
        <w:t>先に還元されること。リース契約とは別に</w:t>
      </w:r>
      <w:r>
        <w:rPr>
          <w:rFonts w:hint="eastAsia"/>
        </w:rPr>
        <w:t>リース</w:t>
      </w:r>
      <w:r>
        <w:rPr>
          <w:rFonts w:hint="default" w:ascii="ＭＳ 明朝" w:hAnsi="ＭＳ 明朝"/>
        </w:rPr>
        <w:t>先に支払われる形は認めない。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（４）　</w:t>
      </w:r>
      <w:r>
        <w:rPr>
          <w:rFonts w:hint="default" w:ascii="ＭＳ 明朝" w:hAnsi="ＭＳ 明朝"/>
        </w:rPr>
        <w:t>リース期間が財産処分制限期間より短い場合は、リース期間終了後にリース先が対象設備を購入する契約となっていること。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66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hyphenationZone w:val="0"/>
  <w:drawingGridHorizontalSpacing w:val="251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10</Words>
  <Characters>620</Characters>
  <Application>JUST Note</Application>
  <Lines>173</Lines>
  <Paragraphs>31</Paragraphs>
  <CharactersWithSpaces>816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modified xsi:type="dcterms:W3CDTF">2025-05-26T02:08:58Z</dcterms:modified>
  <cp:revision>0</cp:revision>
</cp:coreProperties>
</file>